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652E8" w14:paraId="19FFA1C3" w14:textId="77777777" w:rsidTr="00C652E8">
        <w:tc>
          <w:tcPr>
            <w:tcW w:w="9062" w:type="dxa"/>
            <w:gridSpan w:val="2"/>
          </w:tcPr>
          <w:p w14:paraId="7866C77B" w14:textId="77777777" w:rsidR="00C652E8" w:rsidRPr="00C652E8" w:rsidRDefault="00C652E8" w:rsidP="00C652E8">
            <w:pPr>
              <w:jc w:val="center"/>
              <w:rPr>
                <w:b/>
              </w:rPr>
            </w:pPr>
            <w:r w:rsidRPr="00C652E8">
              <w:rPr>
                <w:b/>
              </w:rPr>
              <w:t xml:space="preserve">La </w:t>
            </w:r>
            <w:proofErr w:type="spellStart"/>
            <w:r w:rsidRPr="00C652E8">
              <w:rPr>
                <w:b/>
              </w:rPr>
              <w:t>glob</w:t>
            </w:r>
            <w:proofErr w:type="spellEnd"/>
            <w:r w:rsidRPr="00C652E8">
              <w:rPr>
                <w:b/>
              </w:rPr>
              <w:t>(u)</w:t>
            </w:r>
            <w:proofErr w:type="spellStart"/>
            <w:r w:rsidRPr="00C652E8">
              <w:rPr>
                <w:b/>
              </w:rPr>
              <w:t>lisation</w:t>
            </w:r>
            <w:proofErr w:type="spellEnd"/>
          </w:p>
        </w:tc>
      </w:tr>
      <w:tr w:rsidR="00C652E8" w14:paraId="60C2D17B" w14:textId="77777777" w:rsidTr="008E400B">
        <w:tc>
          <w:tcPr>
            <w:tcW w:w="4531" w:type="dxa"/>
            <w:vMerge w:val="restart"/>
          </w:tcPr>
          <w:p w14:paraId="7EED74DA" w14:textId="77777777" w:rsidR="00C652E8" w:rsidRPr="00901FAF" w:rsidRDefault="00C652E8">
            <w:pPr>
              <w:rPr>
                <w:b/>
              </w:rPr>
            </w:pPr>
            <w:r w:rsidRPr="00901FAF">
              <w:rPr>
                <w:b/>
              </w:rPr>
              <w:t>Présentation :</w:t>
            </w:r>
          </w:p>
          <w:p w14:paraId="76A8C62E" w14:textId="77777777" w:rsidR="00C652E8" w:rsidRDefault="00901FAF">
            <w:r>
              <w:t xml:space="preserve">Activité participative </w:t>
            </w:r>
            <w:r w:rsidR="008827E0">
              <w:t xml:space="preserve">mêlant information et sensibilisation. </w:t>
            </w:r>
          </w:p>
        </w:tc>
        <w:tc>
          <w:tcPr>
            <w:tcW w:w="4531" w:type="dxa"/>
          </w:tcPr>
          <w:p w14:paraId="43C7BDA2" w14:textId="77777777" w:rsidR="00C652E8" w:rsidRDefault="00C652E8">
            <w:r w:rsidRPr="008827E0">
              <w:rPr>
                <w:b/>
              </w:rPr>
              <w:t>Niveau </w:t>
            </w:r>
            <w:r>
              <w:t>: Collège</w:t>
            </w:r>
          </w:p>
        </w:tc>
      </w:tr>
      <w:tr w:rsidR="00C652E8" w14:paraId="47710925" w14:textId="77777777" w:rsidTr="00676D08">
        <w:tc>
          <w:tcPr>
            <w:tcW w:w="4531" w:type="dxa"/>
            <w:vMerge/>
          </w:tcPr>
          <w:p w14:paraId="2CEB4F86" w14:textId="77777777" w:rsidR="00C652E8" w:rsidRDefault="00C652E8"/>
        </w:tc>
        <w:tc>
          <w:tcPr>
            <w:tcW w:w="4531" w:type="dxa"/>
          </w:tcPr>
          <w:p w14:paraId="5A569A79" w14:textId="11D2F859" w:rsidR="00C652E8" w:rsidRPr="008827E0" w:rsidRDefault="00C652E8">
            <w:pPr>
              <w:rPr>
                <w:b/>
              </w:rPr>
            </w:pPr>
            <w:r w:rsidRPr="008827E0">
              <w:rPr>
                <w:b/>
              </w:rPr>
              <w:t>Durée :</w:t>
            </w:r>
            <w:r w:rsidR="00250B16">
              <w:rPr>
                <w:b/>
              </w:rPr>
              <w:t xml:space="preserve"> 20mns</w:t>
            </w:r>
            <w:bookmarkStart w:id="0" w:name="_GoBack"/>
            <w:bookmarkEnd w:id="0"/>
          </w:p>
        </w:tc>
      </w:tr>
      <w:tr w:rsidR="00C652E8" w14:paraId="381B9A98" w14:textId="77777777" w:rsidTr="00BA1CE6">
        <w:tc>
          <w:tcPr>
            <w:tcW w:w="4531" w:type="dxa"/>
            <w:vMerge/>
          </w:tcPr>
          <w:p w14:paraId="5678AD94" w14:textId="77777777" w:rsidR="00C652E8" w:rsidRDefault="00C652E8"/>
        </w:tc>
        <w:tc>
          <w:tcPr>
            <w:tcW w:w="4531" w:type="dxa"/>
          </w:tcPr>
          <w:p w14:paraId="6EA7D823" w14:textId="77777777" w:rsidR="00C652E8" w:rsidRPr="008827E0" w:rsidRDefault="00C652E8">
            <w:pPr>
              <w:rPr>
                <w:b/>
              </w:rPr>
            </w:pPr>
            <w:r w:rsidRPr="008827E0">
              <w:rPr>
                <w:b/>
              </w:rPr>
              <w:t>Matériel nécessaire :</w:t>
            </w:r>
          </w:p>
        </w:tc>
      </w:tr>
      <w:tr w:rsidR="00C652E8" w14:paraId="6CE8636F" w14:textId="77777777" w:rsidTr="000366EC">
        <w:tc>
          <w:tcPr>
            <w:tcW w:w="4531" w:type="dxa"/>
            <w:vMerge/>
          </w:tcPr>
          <w:p w14:paraId="16069802" w14:textId="77777777" w:rsidR="00C652E8" w:rsidRDefault="00C652E8"/>
        </w:tc>
        <w:tc>
          <w:tcPr>
            <w:tcW w:w="4531" w:type="dxa"/>
          </w:tcPr>
          <w:p w14:paraId="16022F97" w14:textId="77777777" w:rsidR="00C652E8" w:rsidRPr="008827E0" w:rsidRDefault="00C652E8">
            <w:r w:rsidRPr="008827E0">
              <w:rPr>
                <w:b/>
              </w:rPr>
              <w:t xml:space="preserve">Mode d’intervention : </w:t>
            </w:r>
            <w:r w:rsidR="008827E0">
              <w:t>En groupe</w:t>
            </w:r>
          </w:p>
        </w:tc>
      </w:tr>
      <w:tr w:rsidR="00C652E8" w14:paraId="03061D76" w14:textId="77777777" w:rsidTr="00C652E8">
        <w:tc>
          <w:tcPr>
            <w:tcW w:w="9062" w:type="dxa"/>
            <w:gridSpan w:val="2"/>
          </w:tcPr>
          <w:p w14:paraId="2A3B8047" w14:textId="77777777" w:rsidR="00C652E8" w:rsidRPr="00901FAF" w:rsidRDefault="00C652E8">
            <w:pPr>
              <w:rPr>
                <w:b/>
              </w:rPr>
            </w:pPr>
            <w:r w:rsidRPr="00901FAF">
              <w:rPr>
                <w:b/>
              </w:rPr>
              <w:t>Objectifs généraux :</w:t>
            </w:r>
          </w:p>
          <w:p w14:paraId="47B4ED73" w14:textId="77777777" w:rsidR="00C652E8" w:rsidRDefault="008827E0" w:rsidP="00C652E8">
            <w:pPr>
              <w:pStyle w:val="Paragraphedeliste"/>
              <w:numPr>
                <w:ilvl w:val="0"/>
                <w:numId w:val="1"/>
              </w:numPr>
            </w:pPr>
            <w:r>
              <w:t>Agir à long terme par une éducation et une sensibilisation au don de sang dès le plus jeune âge </w:t>
            </w:r>
          </w:p>
        </w:tc>
      </w:tr>
      <w:tr w:rsidR="00C652E8" w14:paraId="1D73C0A4" w14:textId="77777777" w:rsidTr="00C652E8">
        <w:tc>
          <w:tcPr>
            <w:tcW w:w="9062" w:type="dxa"/>
            <w:gridSpan w:val="2"/>
          </w:tcPr>
          <w:p w14:paraId="1CA4F2B0" w14:textId="77777777" w:rsidR="00C652E8" w:rsidRPr="00901FAF" w:rsidRDefault="00C652E8">
            <w:pPr>
              <w:rPr>
                <w:b/>
              </w:rPr>
            </w:pPr>
            <w:r w:rsidRPr="00901FAF">
              <w:rPr>
                <w:b/>
              </w:rPr>
              <w:t>Objectifs spécifiques :</w:t>
            </w:r>
          </w:p>
          <w:p w14:paraId="7EFF13F7" w14:textId="77777777" w:rsidR="008827E0" w:rsidRDefault="008827E0" w:rsidP="008827E0">
            <w:pPr>
              <w:pStyle w:val="Paragraphedeliste"/>
              <w:numPr>
                <w:ilvl w:val="0"/>
                <w:numId w:val="1"/>
              </w:numPr>
            </w:pPr>
            <w:r>
              <w:t>Bonne compréhension du concept de compatibilité des groupes sanguins.</w:t>
            </w:r>
          </w:p>
          <w:p w14:paraId="1AADED42" w14:textId="77777777" w:rsidR="00C652E8" w:rsidRDefault="00C652E8" w:rsidP="008827E0">
            <w:pPr>
              <w:ind w:left="360"/>
            </w:pPr>
          </w:p>
        </w:tc>
      </w:tr>
      <w:tr w:rsidR="00C652E8" w14:paraId="77FEA0F9" w14:textId="77777777" w:rsidTr="00C652E8">
        <w:tc>
          <w:tcPr>
            <w:tcW w:w="9062" w:type="dxa"/>
            <w:gridSpan w:val="2"/>
          </w:tcPr>
          <w:p w14:paraId="7CB207E0" w14:textId="77777777" w:rsidR="00C652E8" w:rsidRPr="00901FAF" w:rsidRDefault="00C652E8">
            <w:pPr>
              <w:rPr>
                <w:b/>
              </w:rPr>
            </w:pPr>
            <w:r w:rsidRPr="00901FAF">
              <w:rPr>
                <w:b/>
              </w:rPr>
              <w:t>Fonctions de volontaires en Service Civique :</w:t>
            </w:r>
          </w:p>
          <w:p w14:paraId="54E51456" w14:textId="42DE4FAB" w:rsidR="00C652E8" w:rsidRDefault="00C52BB0" w:rsidP="00C52BB0">
            <w:pPr>
              <w:pStyle w:val="Paragraphedeliste"/>
              <w:numPr>
                <w:ilvl w:val="0"/>
                <w:numId w:val="1"/>
              </w:numPr>
            </w:pPr>
            <w:r>
              <w:t>S’assure</w:t>
            </w:r>
            <w:r w:rsidR="00C52671">
              <w:t>r</w:t>
            </w:r>
            <w:r>
              <w:t xml:space="preserve"> du bon déroulement de l’activité</w:t>
            </w:r>
          </w:p>
          <w:p w14:paraId="7349F9BC" w14:textId="65A33799" w:rsidR="00C52BB0" w:rsidRDefault="00901FAF" w:rsidP="00C52BB0">
            <w:pPr>
              <w:pStyle w:val="Paragraphedeliste"/>
              <w:numPr>
                <w:ilvl w:val="0"/>
                <w:numId w:val="1"/>
              </w:numPr>
            </w:pPr>
            <w:r>
              <w:t>Explique</w:t>
            </w:r>
            <w:r w:rsidR="00C52671">
              <w:t>r</w:t>
            </w:r>
            <w:r>
              <w:t xml:space="preserve"> les enjeux liés au don du sang</w:t>
            </w:r>
          </w:p>
        </w:tc>
      </w:tr>
      <w:tr w:rsidR="00C652E8" w14:paraId="47E56776" w14:textId="77777777" w:rsidTr="00C652E8">
        <w:tc>
          <w:tcPr>
            <w:tcW w:w="9062" w:type="dxa"/>
            <w:gridSpan w:val="2"/>
          </w:tcPr>
          <w:p w14:paraId="7E725E13" w14:textId="77777777" w:rsidR="00C652E8" w:rsidRPr="00724814" w:rsidRDefault="00C652E8">
            <w:pPr>
              <w:rPr>
                <w:b/>
              </w:rPr>
            </w:pPr>
            <w:r w:rsidRPr="00724814">
              <w:rPr>
                <w:b/>
              </w:rPr>
              <w:t>Description :</w:t>
            </w:r>
          </w:p>
          <w:p w14:paraId="51411FE3" w14:textId="77777777" w:rsidR="00B62DA1" w:rsidRDefault="00B62DA1" w:rsidP="00117E65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40054A26" w14:textId="1E8BB970" w:rsidR="00B62DA1" w:rsidRDefault="00724814" w:rsidP="00B62DA1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Cette activité intervient après la « vidéo-débat ».</w:t>
            </w:r>
          </w:p>
          <w:p w14:paraId="5779C100" w14:textId="77777777" w:rsidR="00B62DA1" w:rsidRPr="00E73932" w:rsidRDefault="00B62DA1" w:rsidP="00B62DA1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7393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Le SC commence par annoncer qu’une activité sous forme de jeu a été pensée pour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informer et sensibiliser les élèves à l’importance du don du sang.</w:t>
            </w:r>
          </w:p>
          <w:p w14:paraId="74EDF6FC" w14:textId="77777777" w:rsidR="00B62DA1" w:rsidRPr="00E73932" w:rsidRDefault="00B62DA1" w:rsidP="00B62DA1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68292784" w14:textId="77777777" w:rsidR="00B62DA1" w:rsidRPr="00E73932" w:rsidRDefault="00B62DA1" w:rsidP="00B62DA1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E7393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Le SC explique le déroulement 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de l’activité</w:t>
            </w:r>
            <w:r w:rsidRPr="00E7393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.</w:t>
            </w:r>
          </w:p>
          <w:p w14:paraId="0D0016DC" w14:textId="77777777" w:rsidR="00B62DA1" w:rsidRDefault="00B62DA1" w:rsidP="00422662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3A140E60" w14:textId="3893C933" w:rsidR="00724814" w:rsidRDefault="00117E65" w:rsidP="00422662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Le jeu consiste à former </w:t>
            </w:r>
            <w:r w:rsidR="00422662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8</w:t>
            </w:r>
            <w:r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groupes suivant les groupes sanguins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de chacun 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en attribuant</w:t>
            </w:r>
            <w:r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des groupes aléatoirement aux élèves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qui ne connaissent pas 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leur</w:t>
            </w:r>
            <w:r w:rsidR="00C5267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s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groupe</w:t>
            </w:r>
            <w:r w:rsidR="00C5267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s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sanguin</w:t>
            </w:r>
            <w:r w:rsidR="00C5267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.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Les groupes forment des petits cercles dispersés dans la classe. </w:t>
            </w:r>
          </w:p>
          <w:p w14:paraId="2E785E41" w14:textId="77777777" w:rsidR="00724814" w:rsidRDefault="00724814" w:rsidP="00422662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5AC4B43C" w14:textId="6FAB54DB" w:rsidR="00117E65" w:rsidRDefault="00117E65" w:rsidP="00422662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Il est important de respecter la proportion des différents groupes sanguins dans la population française pour que les élèves réalisent que certaines personnes sont moins susceptibles d’être sauvées que d’autres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,</w:t>
            </w:r>
            <w:r w:rsidR="00C5267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d’où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l’importance d’être nombreux à donner son sang.</w:t>
            </w:r>
          </w:p>
          <w:p w14:paraId="47434CB8" w14:textId="77777777" w:rsidR="00422662" w:rsidRDefault="00422662" w:rsidP="00422662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7BE31066" w14:textId="77777777" w:rsidR="00422662" w:rsidRDefault="00422662" w:rsidP="00422662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Les proportions sont : </w:t>
            </w:r>
          </w:p>
          <w:p w14:paraId="50F905ED" w14:textId="77777777" w:rsidR="00422662" w:rsidRDefault="00422662" w:rsidP="00117E65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tbl>
            <w:tblPr>
              <w:tblW w:w="9600" w:type="dxa"/>
              <w:tblBorders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1"/>
              <w:gridCol w:w="3414"/>
              <w:gridCol w:w="2125"/>
            </w:tblGrid>
            <w:tr w:rsidR="00422662" w:rsidRPr="00422662" w14:paraId="434EBE95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652C16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5943C6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+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B89DF78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38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0B656C18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EF2389D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0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72BABF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+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57317D0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36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2A44B15A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F08CEA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B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5ACFB0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+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DE753F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8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778E55A9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549DC4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AB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353A66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+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0E3EDD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3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15D941E4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792923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2BEE1F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-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15ADCE7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7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626F7972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C1959B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O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952F1D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-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3D5EED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6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317ECDFA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992F1F6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B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596B9E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-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8272E7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1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422662" w:rsidRPr="00422662" w14:paraId="092192AB" w14:textId="77777777" w:rsidTr="00422662"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8B0C34A" w14:textId="77777777" w:rsidR="00422662" w:rsidRPr="00422662" w:rsidRDefault="00422662" w:rsidP="00422662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Groupe AB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40D50F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Rhésus -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3A7EDC" w14:textId="77777777" w:rsidR="00422662" w:rsidRPr="00422662" w:rsidRDefault="00422662" w:rsidP="00422662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</w:pPr>
                  <w:r w:rsidRPr="00422662"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1</w:t>
                  </w:r>
                  <w:r>
                    <w:rPr>
                      <w:rFonts w:ascii="inherit" w:eastAsia="Times New Roman" w:hAnsi="inherit" w:cs="Times New Roman"/>
                      <w:color w:val="666666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</w:tbl>
          <w:p w14:paraId="68046E4E" w14:textId="77777777" w:rsidR="00422662" w:rsidRDefault="00422662" w:rsidP="00117E65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0D088B6B" w14:textId="1A309BB3" w:rsidR="00C52BB0" w:rsidRDefault="00422662" w:rsidP="00724814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 SC demande dans un premier temps </w:t>
            </w:r>
            <w:r w:rsidR="00117E65"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à chaque personne d’u</w:t>
            </w:r>
            <w:r w:rsidR="0096300F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n même groupe de </w:t>
            </w:r>
            <w:r w:rsidR="00C52BB0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réunir autour de lui une personne de chaque groupe compatible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au sien</w:t>
            </w:r>
            <w:r w:rsidR="00901FAF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. 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 SC vérifie</w:t>
            </w:r>
            <w:r w:rsidR="00724814"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que tout le monde a choisi les personnes correct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es, puis demande aux élèves de reprendre leur</w:t>
            </w:r>
            <w:r w:rsidR="00C5267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s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place</w:t>
            </w:r>
            <w:r w:rsidR="00C5267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s</w:t>
            </w:r>
            <w:r w:rsidR="0072481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au sein des groupes. Il procède ainsi pour chaque « groupe sanguin ».</w:t>
            </w:r>
          </w:p>
          <w:p w14:paraId="1BD93CA0" w14:textId="77777777" w:rsidR="00724814" w:rsidRDefault="00724814" w:rsidP="00117E65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77F774CD" w14:textId="77777777" w:rsidR="00757007" w:rsidRDefault="00724814" w:rsidP="00757007">
            <w:pPr>
              <w:pStyle w:val="Corps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lastRenderedPageBreak/>
              <w:t>Dans un second temps, le SC d</w:t>
            </w:r>
            <w:r w:rsidR="00117E65"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emande à chaque personne d</w:t>
            </w:r>
            <w:r w:rsidR="0013129D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’un même group</w:t>
            </w:r>
            <w:r w:rsidR="00117E65"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e </w:t>
            </w:r>
            <w:r w:rsidR="0013129D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de réunir autour de lui en cercle les personnes</w:t>
            </w:r>
            <w:r w:rsidR="00117E65"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qui pourraient lui faire don d</w:t>
            </w:r>
            <w:r w:rsidR="0013129D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e leurs sang (en respectant la compatibilité des groupes sanguins). </w:t>
            </w:r>
            <w:r w:rsidR="00757007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 SC vérifie</w:t>
            </w:r>
            <w:r w:rsidR="00757007" w:rsidRPr="00117E65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que tout le monde a choisi les personnes correct</w:t>
            </w:r>
            <w:r w:rsidR="00757007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es, puis demande aux élèves de reprendre leur place au sein des groupes. Il procède ainsi pour chaque « groupe sanguin ».</w:t>
            </w:r>
          </w:p>
          <w:p w14:paraId="6B48E2E4" w14:textId="77777777" w:rsidR="00117E65" w:rsidRPr="00117E65" w:rsidRDefault="00117E65" w:rsidP="00117E65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14:paraId="66353FEF" w14:textId="068198D6" w:rsidR="00117E65" w:rsidRPr="00117E65" w:rsidRDefault="00C52671" w:rsidP="00117E65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 chaque étape, l</w:t>
            </w:r>
            <w:r w:rsidR="00901FAF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e SC doit expliquer que les résultats du jeu : une personne qui ne trouve pas de donneur, un donneur qui se retrouve avec plusieurs demandes, sont 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une réalité dans la vie réelle.</w:t>
            </w:r>
          </w:p>
          <w:p w14:paraId="23E29E73" w14:textId="77777777" w:rsidR="00C652E8" w:rsidRDefault="00C652E8"/>
        </w:tc>
      </w:tr>
      <w:tr w:rsidR="00C652E8" w14:paraId="5A45CF24" w14:textId="77777777" w:rsidTr="00C652E8">
        <w:tc>
          <w:tcPr>
            <w:tcW w:w="9062" w:type="dxa"/>
            <w:gridSpan w:val="2"/>
          </w:tcPr>
          <w:p w14:paraId="46BEF0DC" w14:textId="77777777" w:rsidR="00C652E8" w:rsidRPr="008827E0" w:rsidRDefault="00C652E8">
            <w:pPr>
              <w:rPr>
                <w:b/>
              </w:rPr>
            </w:pPr>
            <w:r w:rsidRPr="008827E0">
              <w:rPr>
                <w:b/>
              </w:rPr>
              <w:lastRenderedPageBreak/>
              <w:t>Conseils et suggestions :</w:t>
            </w:r>
          </w:p>
          <w:p w14:paraId="262AFD58" w14:textId="77777777" w:rsidR="00C652E8" w:rsidRDefault="00C52BB0" w:rsidP="00C52BB0">
            <w:pPr>
              <w:pStyle w:val="Paragraphedeliste"/>
              <w:numPr>
                <w:ilvl w:val="0"/>
                <w:numId w:val="1"/>
              </w:numPr>
            </w:pPr>
            <w:r>
              <w:t>Pendant toute la durée du jeu, il est conseillé au SC d’adopter un discours sensibilisateur, en mettant en avant les enjeux du don du sang.</w:t>
            </w:r>
          </w:p>
        </w:tc>
      </w:tr>
    </w:tbl>
    <w:p w14:paraId="43287E6E" w14:textId="77777777" w:rsidR="00091D74" w:rsidRDefault="00250B16"/>
    <w:sectPr w:rsidR="0009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81887"/>
    <w:multiLevelType w:val="hybridMultilevel"/>
    <w:tmpl w:val="236A215C"/>
    <w:lvl w:ilvl="0" w:tplc="E86AC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8"/>
    <w:rsid w:val="00117E65"/>
    <w:rsid w:val="0013129D"/>
    <w:rsid w:val="002234AD"/>
    <w:rsid w:val="00250B16"/>
    <w:rsid w:val="00422662"/>
    <w:rsid w:val="00724814"/>
    <w:rsid w:val="00757007"/>
    <w:rsid w:val="007C37AA"/>
    <w:rsid w:val="00823365"/>
    <w:rsid w:val="008827E0"/>
    <w:rsid w:val="00901FAF"/>
    <w:rsid w:val="0096300F"/>
    <w:rsid w:val="00B62DA1"/>
    <w:rsid w:val="00C52671"/>
    <w:rsid w:val="00C52BB0"/>
    <w:rsid w:val="00C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D757"/>
  <w15:chartTrackingRefBased/>
  <w15:docId w15:val="{C99A3FE7-49A6-49DB-88B6-CF3C288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52E8"/>
    <w:pPr>
      <w:ind w:left="720"/>
      <w:contextualSpacing/>
    </w:pPr>
  </w:style>
  <w:style w:type="paragraph" w:customStyle="1" w:styleId="Corps">
    <w:name w:val="Corps"/>
    <w:rsid w:val="00117E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2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YOUSFI Sofia</dc:creator>
  <cp:keywords/>
  <dc:description/>
  <cp:lastModifiedBy>EL YOUSFI Sofia</cp:lastModifiedBy>
  <cp:revision>4</cp:revision>
  <dcterms:created xsi:type="dcterms:W3CDTF">2017-03-27T08:20:00Z</dcterms:created>
  <dcterms:modified xsi:type="dcterms:W3CDTF">2017-03-31T14:44:00Z</dcterms:modified>
</cp:coreProperties>
</file>